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1161" w14:textId="77777777" w:rsidR="005703C9" w:rsidRDefault="005703C9" w:rsidP="005703C9">
      <w:pPr>
        <w:rPr>
          <w:rFonts w:ascii="Muli" w:hAnsi="Muli" w:cs="Calibri"/>
          <w:sz w:val="36"/>
          <w:szCs w:val="36"/>
          <w:lang w:val="de-DE" w:eastAsia="en-US"/>
        </w:rPr>
      </w:pPr>
      <w:r>
        <w:rPr>
          <w:rFonts w:ascii="Muli" w:hAnsi="Muli" w:cs="Calibri"/>
          <w:sz w:val="36"/>
          <w:szCs w:val="36"/>
          <w:lang w:val="de-DE" w:eastAsia="en-US"/>
        </w:rPr>
        <w:t>(Re)</w:t>
      </w:r>
      <w:proofErr w:type="spellStart"/>
      <w:r>
        <w:rPr>
          <w:rFonts w:ascii="Muli" w:hAnsi="Muli" w:cs="Calibri"/>
          <w:sz w:val="36"/>
          <w:szCs w:val="36"/>
          <w:lang w:val="de-DE" w:eastAsia="en-US"/>
        </w:rPr>
        <w:t>konstruktion</w:t>
      </w:r>
      <w:proofErr w:type="spellEnd"/>
      <w:r>
        <w:rPr>
          <w:rFonts w:ascii="Muli" w:hAnsi="Muli" w:cs="Calibri"/>
          <w:sz w:val="36"/>
          <w:szCs w:val="36"/>
          <w:lang w:val="de-DE" w:eastAsia="en-US"/>
        </w:rPr>
        <w:t xml:space="preserve"> der Erinnerung</w:t>
      </w:r>
    </w:p>
    <w:p w14:paraId="70847D58"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 xml:space="preserve">eine dynamische Ausstellung </w:t>
      </w:r>
    </w:p>
    <w:p w14:paraId="25C98145"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mit</w:t>
      </w:r>
      <w:r>
        <w:rPr>
          <w:rFonts w:ascii="Muli" w:hAnsi="Muli" w:cs="Calibri"/>
          <w:color w:val="1F497D"/>
          <w:sz w:val="20"/>
          <w:szCs w:val="20"/>
          <w:lang w:val="de-DE" w:eastAsia="en-US"/>
        </w:rPr>
        <w:t xml:space="preserve"> </w:t>
      </w:r>
      <w:r>
        <w:rPr>
          <w:rFonts w:ascii="Muli" w:hAnsi="Muli" w:cs="Calibri"/>
          <w:sz w:val="20"/>
          <w:szCs w:val="20"/>
          <w:lang w:val="de-DE" w:eastAsia="en-US"/>
        </w:rPr>
        <w:t>Monika Dorninger, Claudia Dorninger-Lehner, Julia Dorninger</w:t>
      </w:r>
    </w:p>
    <w:p w14:paraId="3E7107E9" w14:textId="77777777" w:rsidR="005703C9" w:rsidRDefault="005703C9" w:rsidP="005703C9">
      <w:pPr>
        <w:rPr>
          <w:rFonts w:ascii="Muli" w:hAnsi="Muli" w:cs="Calibri"/>
          <w:sz w:val="20"/>
          <w:szCs w:val="20"/>
          <w:lang w:val="de-DE" w:eastAsia="en-US"/>
        </w:rPr>
      </w:pPr>
    </w:p>
    <w:p w14:paraId="1149594D"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Ausstellungsdauer: 26.04. - 08.05.2021</w:t>
      </w:r>
    </w:p>
    <w:p w14:paraId="45F3A8C7" w14:textId="77777777" w:rsidR="005703C9" w:rsidRDefault="005703C9" w:rsidP="005703C9">
      <w:pPr>
        <w:rPr>
          <w:rFonts w:ascii="Muli" w:hAnsi="Muli" w:cs="Calibri"/>
          <w:sz w:val="20"/>
          <w:szCs w:val="20"/>
          <w:lang w:val="de-DE" w:eastAsia="en-US"/>
        </w:rPr>
      </w:pPr>
      <w:proofErr w:type="spellStart"/>
      <w:r>
        <w:rPr>
          <w:rFonts w:ascii="Muli" w:hAnsi="Muli" w:cs="Calibri"/>
          <w:sz w:val="20"/>
          <w:szCs w:val="20"/>
          <w:lang w:val="de-DE" w:eastAsia="en-US"/>
        </w:rPr>
        <w:t>sehsaal</w:t>
      </w:r>
      <w:proofErr w:type="spellEnd"/>
      <w:r>
        <w:rPr>
          <w:rFonts w:ascii="Muli" w:hAnsi="Muli" w:cs="Calibri"/>
          <w:sz w:val="20"/>
          <w:szCs w:val="20"/>
          <w:lang w:val="de-DE" w:eastAsia="en-US"/>
        </w:rPr>
        <w:t xml:space="preserve">, </w:t>
      </w:r>
      <w:proofErr w:type="spellStart"/>
      <w:r>
        <w:rPr>
          <w:rFonts w:ascii="Muli" w:hAnsi="Muli" w:cs="Calibri"/>
          <w:sz w:val="20"/>
          <w:szCs w:val="20"/>
          <w:lang w:val="de-DE" w:eastAsia="en-US"/>
        </w:rPr>
        <w:t>Zentagasse</w:t>
      </w:r>
      <w:proofErr w:type="spellEnd"/>
      <w:r>
        <w:rPr>
          <w:rFonts w:ascii="Muli" w:hAnsi="Muli" w:cs="Calibri"/>
          <w:sz w:val="20"/>
          <w:szCs w:val="20"/>
          <w:lang w:val="de-DE" w:eastAsia="en-US"/>
        </w:rPr>
        <w:t xml:space="preserve"> 38, 1050 Wien, </w:t>
      </w:r>
      <w:hyperlink r:id="rId4" w:history="1">
        <w:r>
          <w:rPr>
            <w:rStyle w:val="Hyperlink"/>
            <w:rFonts w:ascii="Muli" w:hAnsi="Muli" w:cs="Calibri"/>
            <w:color w:val="000000"/>
            <w:sz w:val="20"/>
            <w:szCs w:val="20"/>
            <w:lang w:val="de-DE" w:eastAsia="en-US"/>
          </w:rPr>
          <w:t>www.sehsaal.at</w:t>
        </w:r>
      </w:hyperlink>
    </w:p>
    <w:p w14:paraId="2F9EB0E9" w14:textId="77777777" w:rsidR="005703C9" w:rsidRDefault="005703C9" w:rsidP="005703C9">
      <w:pPr>
        <w:rPr>
          <w:rFonts w:ascii="Muli" w:hAnsi="Muli" w:cs="Calibri"/>
          <w:sz w:val="20"/>
          <w:szCs w:val="20"/>
          <w:lang w:val="de-DE" w:eastAsia="en-US"/>
        </w:rPr>
      </w:pPr>
    </w:p>
    <w:p w14:paraId="75F5B395" w14:textId="77777777" w:rsidR="005703C9" w:rsidRPr="00827829" w:rsidRDefault="005703C9" w:rsidP="005703C9">
      <w:pPr>
        <w:rPr>
          <w:rFonts w:ascii="Muli" w:hAnsi="Muli" w:cs="Calibri"/>
          <w:b/>
          <w:bCs/>
          <w:i/>
          <w:iCs/>
          <w:color w:val="808080"/>
          <w:sz w:val="20"/>
          <w:szCs w:val="20"/>
          <w:u w:val="single"/>
          <w:lang w:val="de-DE" w:eastAsia="en-US"/>
        </w:rPr>
      </w:pPr>
      <w:r w:rsidRPr="00827829">
        <w:rPr>
          <w:rFonts w:ascii="Muli" w:hAnsi="Muli" w:cs="Calibri"/>
          <w:b/>
          <w:bCs/>
          <w:i/>
          <w:iCs/>
          <w:color w:val="808080"/>
          <w:sz w:val="20"/>
          <w:szCs w:val="20"/>
          <w:u w:val="single"/>
          <w:lang w:val="de-DE" w:eastAsia="en-US"/>
        </w:rPr>
        <w:t>Falls es die gesetzlichen Vorgaben zulassen:</w:t>
      </w:r>
    </w:p>
    <w:p w14:paraId="6DF74C45"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 xml:space="preserve">Soft Opening mit Hofbenützung: 04.05.2021, 14-19 Uhr </w:t>
      </w:r>
    </w:p>
    <w:p w14:paraId="4335D7B2"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Soft Closing mit Hofbenützung: 08.05.2021, 14-19 Uhr</w:t>
      </w:r>
    </w:p>
    <w:p w14:paraId="03A09F69" w14:textId="77777777" w:rsidR="005703C9" w:rsidRDefault="005703C9" w:rsidP="005703C9">
      <w:pPr>
        <w:rPr>
          <w:rFonts w:ascii="Muli" w:hAnsi="Muli" w:cs="Calibri"/>
          <w:sz w:val="20"/>
          <w:szCs w:val="20"/>
          <w:lang w:val="de-DE" w:eastAsia="en-US"/>
        </w:rPr>
      </w:pPr>
    </w:p>
    <w:p w14:paraId="44102728"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Wir freuen uns über Besuche während der Öffnungszeiten:</w:t>
      </w:r>
    </w:p>
    <w:p w14:paraId="3ABB0339"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03.05. – 08.05., täglich 14-19 Uhr</w:t>
      </w:r>
    </w:p>
    <w:p w14:paraId="33776571" w14:textId="77777777" w:rsidR="005703C9" w:rsidRDefault="005703C9" w:rsidP="005703C9">
      <w:pPr>
        <w:rPr>
          <w:rFonts w:ascii="Muli" w:hAnsi="Muli" w:cs="Calibri"/>
          <w:sz w:val="20"/>
          <w:szCs w:val="20"/>
          <w:lang w:val="de-DE" w:eastAsia="en-US"/>
        </w:rPr>
      </w:pPr>
    </w:p>
    <w:p w14:paraId="067B81B0"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Special Guest: Aileen Lehner</w:t>
      </w:r>
    </w:p>
    <w:p w14:paraId="4B2AE40D" w14:textId="77777777" w:rsidR="005703C9" w:rsidRDefault="005703C9" w:rsidP="005703C9">
      <w:pPr>
        <w:rPr>
          <w:rFonts w:ascii="Muli" w:hAnsi="Muli" w:cs="Calibri"/>
          <w:sz w:val="20"/>
          <w:szCs w:val="20"/>
          <w:lang w:val="de-DE" w:eastAsia="en-US"/>
        </w:rPr>
      </w:pPr>
      <w:r>
        <w:rPr>
          <w:rFonts w:ascii="Muli" w:hAnsi="Muli" w:cs="Calibri"/>
          <w:sz w:val="20"/>
          <w:szCs w:val="20"/>
          <w:lang w:val="de-DE" w:eastAsia="en-US"/>
        </w:rPr>
        <w:t>Performance: 07.05.2021, 18 Uhr</w:t>
      </w:r>
    </w:p>
    <w:p w14:paraId="477B9985" w14:textId="77777777" w:rsidR="005703C9" w:rsidRDefault="005703C9" w:rsidP="005703C9"/>
    <w:p w14:paraId="6BBD5223" w14:textId="77777777" w:rsidR="005703C9" w:rsidRDefault="005703C9" w:rsidP="005703C9">
      <w:pPr>
        <w:rPr>
          <w:rFonts w:ascii="Muli" w:hAnsi="Muli" w:cs="Calibri"/>
          <w:b/>
          <w:bCs/>
          <w:color w:val="7F7F7F"/>
          <w:sz w:val="28"/>
          <w:szCs w:val="28"/>
          <w:lang w:val="de-DE" w:eastAsia="en-US"/>
        </w:rPr>
      </w:pPr>
      <w:r>
        <w:rPr>
          <w:rFonts w:ascii="Muli" w:hAnsi="Muli" w:cs="Calibri"/>
          <w:b/>
          <w:bCs/>
          <w:color w:val="7F7F7F"/>
          <w:sz w:val="28"/>
          <w:szCs w:val="28"/>
          <w:lang w:val="de-DE" w:eastAsia="en-US"/>
        </w:rPr>
        <w:t>Zur Ausstellung</w:t>
      </w:r>
    </w:p>
    <w:p w14:paraId="59050C36" w14:textId="77777777" w:rsidR="005703C9" w:rsidRDefault="005703C9" w:rsidP="005703C9">
      <w:pPr>
        <w:rPr>
          <w:rFonts w:ascii="Muli" w:hAnsi="Muli" w:cs="Calibri"/>
          <w:sz w:val="20"/>
          <w:szCs w:val="20"/>
          <w:lang w:val="de-DE" w:eastAsia="en-US"/>
        </w:rPr>
      </w:pPr>
    </w:p>
    <w:p w14:paraId="31B26B6E" w14:textId="77777777" w:rsidR="005703C9" w:rsidRDefault="005703C9" w:rsidP="005703C9">
      <w:pPr>
        <w:rPr>
          <w:rFonts w:ascii="Muli" w:hAnsi="Muli" w:cs="Calibri"/>
          <w:b/>
          <w:bCs/>
          <w:i/>
          <w:iCs/>
          <w:color w:val="7F7F7F"/>
          <w:sz w:val="20"/>
          <w:szCs w:val="20"/>
          <w:lang w:val="de-DE" w:eastAsia="en-US"/>
        </w:rPr>
      </w:pPr>
      <w:r>
        <w:rPr>
          <w:rFonts w:ascii="Muli" w:hAnsi="Muli" w:cs="Calibri"/>
          <w:b/>
          <w:bCs/>
          <w:i/>
          <w:iCs/>
          <w:color w:val="7F7F7F"/>
          <w:sz w:val="20"/>
          <w:szCs w:val="20"/>
          <w:lang w:val="de-DE" w:eastAsia="en-US"/>
        </w:rPr>
        <w:t xml:space="preserve">„So wie ein Ort durch Identität, Relation und Geschichte gekennzeichnet ist, </w:t>
      </w:r>
    </w:p>
    <w:p w14:paraId="24D01F73" w14:textId="77777777" w:rsidR="005703C9" w:rsidRDefault="005703C9" w:rsidP="005703C9">
      <w:pPr>
        <w:rPr>
          <w:rFonts w:ascii="Muli" w:hAnsi="Muli" w:cs="Calibri"/>
          <w:b/>
          <w:bCs/>
          <w:i/>
          <w:iCs/>
          <w:color w:val="7F7F7F"/>
          <w:sz w:val="20"/>
          <w:szCs w:val="20"/>
          <w:lang w:val="de-DE" w:eastAsia="en-US"/>
        </w:rPr>
      </w:pPr>
      <w:r>
        <w:rPr>
          <w:rFonts w:ascii="Muli" w:hAnsi="Muli" w:cs="Calibri"/>
          <w:b/>
          <w:bCs/>
          <w:i/>
          <w:iCs/>
          <w:color w:val="7F7F7F"/>
          <w:sz w:val="20"/>
          <w:szCs w:val="20"/>
          <w:lang w:val="de-DE" w:eastAsia="en-US"/>
        </w:rPr>
        <w:t xml:space="preserve">so definiert ein Raum, der keine Identität besitzt </w:t>
      </w:r>
    </w:p>
    <w:p w14:paraId="5F533300" w14:textId="77777777" w:rsidR="005703C9" w:rsidRDefault="005703C9" w:rsidP="005703C9">
      <w:pPr>
        <w:rPr>
          <w:rFonts w:ascii="Muli" w:hAnsi="Muli" w:cs="Calibri"/>
          <w:b/>
          <w:bCs/>
          <w:i/>
          <w:iCs/>
          <w:color w:val="7F7F7F"/>
          <w:sz w:val="20"/>
          <w:szCs w:val="20"/>
          <w:lang w:val="de-DE" w:eastAsia="en-US"/>
        </w:rPr>
      </w:pPr>
      <w:r>
        <w:rPr>
          <w:rFonts w:ascii="Muli" w:hAnsi="Muli" w:cs="Calibri"/>
          <w:b/>
          <w:bCs/>
          <w:i/>
          <w:iCs/>
          <w:color w:val="7F7F7F"/>
          <w:sz w:val="20"/>
          <w:szCs w:val="20"/>
          <w:lang w:val="de-DE" w:eastAsia="en-US"/>
        </w:rPr>
        <w:t>und sich weder als relational noch als historisch bezeichnen lässt, einen Nicht-Ort.“</w:t>
      </w:r>
    </w:p>
    <w:p w14:paraId="15D877FF" w14:textId="77777777" w:rsidR="005703C9" w:rsidRDefault="005703C9" w:rsidP="005703C9">
      <w:pPr>
        <w:rPr>
          <w:rFonts w:ascii="Muli" w:hAnsi="Muli" w:cs="Calibri"/>
          <w:b/>
          <w:bCs/>
          <w:i/>
          <w:iCs/>
          <w:color w:val="7F7F7F"/>
          <w:sz w:val="20"/>
          <w:szCs w:val="20"/>
          <w:lang w:val="de-DE" w:eastAsia="en-US"/>
        </w:rPr>
      </w:pPr>
      <w:r>
        <w:rPr>
          <w:rFonts w:ascii="Muli" w:hAnsi="Muli" w:cs="Calibri"/>
          <w:b/>
          <w:bCs/>
          <w:i/>
          <w:iCs/>
          <w:color w:val="7F7F7F"/>
          <w:sz w:val="20"/>
          <w:szCs w:val="20"/>
          <w:lang w:val="de-DE" w:eastAsia="en-US"/>
        </w:rPr>
        <w:t xml:space="preserve">(Marc </w:t>
      </w:r>
      <w:proofErr w:type="spellStart"/>
      <w:r>
        <w:rPr>
          <w:rFonts w:ascii="Muli" w:hAnsi="Muli" w:cs="Calibri"/>
          <w:b/>
          <w:bCs/>
          <w:i/>
          <w:iCs/>
          <w:color w:val="7F7F7F"/>
          <w:sz w:val="20"/>
          <w:szCs w:val="20"/>
          <w:lang w:val="de-DE" w:eastAsia="en-US"/>
        </w:rPr>
        <w:t>Augé</w:t>
      </w:r>
      <w:proofErr w:type="spellEnd"/>
      <w:r>
        <w:rPr>
          <w:rFonts w:ascii="Muli" w:hAnsi="Muli" w:cs="Calibri"/>
          <w:b/>
          <w:bCs/>
          <w:i/>
          <w:iCs/>
          <w:color w:val="7F7F7F"/>
          <w:sz w:val="20"/>
          <w:szCs w:val="20"/>
          <w:lang w:val="de-DE" w:eastAsia="en-US"/>
        </w:rPr>
        <w:t>)</w:t>
      </w:r>
    </w:p>
    <w:p w14:paraId="2C8021D1" w14:textId="77777777" w:rsidR="005703C9" w:rsidRDefault="005703C9" w:rsidP="005703C9">
      <w:pPr>
        <w:rPr>
          <w:rFonts w:ascii="Muli" w:hAnsi="Muli" w:cs="Calibri"/>
          <w:b/>
          <w:bCs/>
          <w:i/>
          <w:iCs/>
          <w:sz w:val="20"/>
          <w:szCs w:val="20"/>
          <w:lang w:val="de-DE" w:eastAsia="en-US"/>
        </w:rPr>
      </w:pPr>
    </w:p>
    <w:p w14:paraId="4A9E20E6" w14:textId="77777777" w:rsidR="005703C9" w:rsidRDefault="005703C9" w:rsidP="005703C9">
      <w:pPr>
        <w:rPr>
          <w:rFonts w:ascii="Muli" w:hAnsi="Muli" w:cs="Calibri"/>
          <w:b/>
          <w:bCs/>
          <w:sz w:val="20"/>
          <w:szCs w:val="20"/>
        </w:rPr>
      </w:pPr>
      <w:r>
        <w:rPr>
          <w:rFonts w:ascii="Muli" w:hAnsi="Muli" w:cs="Calibri"/>
          <w:b/>
          <w:bCs/>
          <w:sz w:val="20"/>
          <w:szCs w:val="20"/>
        </w:rPr>
        <w:t>Ausgehend von dieser zentralen Thematik</w:t>
      </w:r>
    </w:p>
    <w:p w14:paraId="2F60E675" w14:textId="77777777" w:rsidR="005703C9" w:rsidRDefault="005703C9" w:rsidP="005703C9">
      <w:pPr>
        <w:rPr>
          <w:rFonts w:ascii="Muli" w:hAnsi="Muli" w:cs="Calibri"/>
          <w:b/>
          <w:bCs/>
          <w:sz w:val="20"/>
          <w:szCs w:val="20"/>
        </w:rPr>
      </w:pPr>
      <w:r>
        <w:rPr>
          <w:rFonts w:ascii="Muli" w:hAnsi="Muli" w:cs="Calibri"/>
          <w:b/>
          <w:bCs/>
          <w:sz w:val="20"/>
          <w:szCs w:val="20"/>
        </w:rPr>
        <w:t xml:space="preserve">konzipieren die Künstlerinnen die Ausstellung während ihrer Zeit im </w:t>
      </w:r>
      <w:proofErr w:type="spellStart"/>
      <w:r>
        <w:rPr>
          <w:rFonts w:ascii="Muli" w:hAnsi="Muli" w:cs="Calibri"/>
          <w:b/>
          <w:bCs/>
          <w:sz w:val="20"/>
          <w:szCs w:val="20"/>
        </w:rPr>
        <w:t>sehsaal</w:t>
      </w:r>
      <w:proofErr w:type="spellEnd"/>
      <w:r>
        <w:rPr>
          <w:rFonts w:ascii="Muli" w:hAnsi="Muli" w:cs="Calibri"/>
          <w:b/>
          <w:bCs/>
          <w:sz w:val="20"/>
          <w:szCs w:val="20"/>
        </w:rPr>
        <w:t xml:space="preserve"> </w:t>
      </w:r>
    </w:p>
    <w:p w14:paraId="3375D43F" w14:textId="77777777" w:rsidR="005703C9" w:rsidRDefault="005703C9" w:rsidP="005703C9">
      <w:pPr>
        <w:rPr>
          <w:rFonts w:ascii="Muli" w:hAnsi="Muli" w:cs="Calibri"/>
          <w:b/>
          <w:bCs/>
          <w:sz w:val="20"/>
          <w:szCs w:val="20"/>
        </w:rPr>
      </w:pPr>
      <w:r>
        <w:rPr>
          <w:rFonts w:ascii="Muli" w:hAnsi="Muli" w:cs="Calibri"/>
          <w:b/>
          <w:bCs/>
          <w:sz w:val="20"/>
          <w:szCs w:val="20"/>
        </w:rPr>
        <w:t xml:space="preserve">immer wieder neu, bauen um bzw. zurück, fügen neue Bilder hinzu oder entfernen welche. </w:t>
      </w:r>
    </w:p>
    <w:p w14:paraId="4A5C4223" w14:textId="77777777" w:rsidR="005703C9" w:rsidRDefault="005703C9" w:rsidP="005703C9">
      <w:pPr>
        <w:rPr>
          <w:rFonts w:ascii="Muli" w:hAnsi="Muli" w:cs="Calibri"/>
          <w:b/>
          <w:bCs/>
          <w:i/>
          <w:iCs/>
          <w:sz w:val="20"/>
          <w:szCs w:val="20"/>
          <w:lang w:val="de-DE" w:eastAsia="en-US"/>
        </w:rPr>
      </w:pPr>
      <w:r>
        <w:rPr>
          <w:rFonts w:ascii="Muli" w:hAnsi="Muli" w:cs="Calibri"/>
          <w:b/>
          <w:bCs/>
          <w:sz w:val="20"/>
          <w:szCs w:val="20"/>
        </w:rPr>
        <w:t>Neues entsteht, Altes wird verworfen.</w:t>
      </w:r>
    </w:p>
    <w:p w14:paraId="50621CF8" w14:textId="77777777" w:rsidR="005703C9" w:rsidRPr="00827829" w:rsidRDefault="005703C9" w:rsidP="005703C9">
      <w:pPr>
        <w:rPr>
          <w:rFonts w:ascii="Muli" w:hAnsi="Muli" w:cs="Calibri"/>
          <w:b/>
          <w:bCs/>
          <w:i/>
          <w:iCs/>
          <w:sz w:val="20"/>
          <w:szCs w:val="20"/>
          <w:lang w:val="de-DE" w:eastAsia="en-US"/>
        </w:rPr>
      </w:pPr>
    </w:p>
    <w:p w14:paraId="5EFE3148" w14:textId="77777777" w:rsidR="005703C9" w:rsidRDefault="005703C9" w:rsidP="005703C9">
      <w:pPr>
        <w:spacing w:before="100" w:beforeAutospacing="1" w:after="100" w:afterAutospacing="1"/>
        <w:rPr>
          <w:rFonts w:ascii="Muli" w:hAnsi="Muli" w:cs="Calibri"/>
          <w:sz w:val="20"/>
          <w:szCs w:val="20"/>
        </w:rPr>
      </w:pPr>
      <w:r>
        <w:rPr>
          <w:rFonts w:ascii="Muli" w:hAnsi="Muli" w:cs="Calibri"/>
          <w:sz w:val="20"/>
          <w:szCs w:val="20"/>
        </w:rPr>
        <w:t>In der dynamischen Ausstellung "(Re)</w:t>
      </w:r>
      <w:proofErr w:type="spellStart"/>
      <w:r>
        <w:rPr>
          <w:rFonts w:ascii="Muli" w:hAnsi="Muli" w:cs="Calibri"/>
          <w:sz w:val="20"/>
          <w:szCs w:val="20"/>
        </w:rPr>
        <w:t>konstruktion</w:t>
      </w:r>
      <w:proofErr w:type="spellEnd"/>
      <w:r>
        <w:rPr>
          <w:rFonts w:ascii="Muli" w:hAnsi="Muli" w:cs="Calibri"/>
          <w:sz w:val="20"/>
          <w:szCs w:val="20"/>
        </w:rPr>
        <w:t xml:space="preserve"> der Erinnerung" beschäftigen sich drei Künstlerinnen - Monika Dorninger/Malerei, Claudia Dorninger-Lehner/Fotografie, Julia Dorninger/Installation- mit dem Begriff des Ortes. Wie lässt sich Wissen um das Potential eines Ortes generieren und wie kann dieser Prozess über künstlerische Forschung beschrieben werden? Mit welchen subjektiven Bedeutungen bzw. kollektiven Identitäten wird oder wurde ein Ort versehen und welche Erinnerungen über diese dem Ort eingeschriebenen Informationen bleiben haften? </w:t>
      </w:r>
    </w:p>
    <w:p w14:paraId="58B5732B" w14:textId="77777777" w:rsidR="005703C9" w:rsidRDefault="005703C9" w:rsidP="005703C9">
      <w:pPr>
        <w:spacing w:before="100" w:beforeAutospacing="1" w:after="100" w:afterAutospacing="1"/>
        <w:rPr>
          <w:rFonts w:ascii="Muli" w:hAnsi="Muli" w:cs="Calibri"/>
          <w:sz w:val="20"/>
          <w:szCs w:val="20"/>
        </w:rPr>
      </w:pPr>
      <w:r>
        <w:rPr>
          <w:rFonts w:ascii="Muli" w:hAnsi="Muli" w:cs="Calibri"/>
          <w:sz w:val="20"/>
          <w:szCs w:val="20"/>
        </w:rPr>
        <w:t xml:space="preserve">Ausgehend von dieser zentralen Thematik konzipieren die Künstlerinnen die Ausstellung während ihrer Zeit im </w:t>
      </w:r>
      <w:proofErr w:type="spellStart"/>
      <w:r>
        <w:rPr>
          <w:rFonts w:ascii="Muli" w:hAnsi="Muli" w:cs="Calibri"/>
          <w:sz w:val="20"/>
          <w:szCs w:val="20"/>
        </w:rPr>
        <w:t>sehsaal</w:t>
      </w:r>
      <w:proofErr w:type="spellEnd"/>
      <w:r>
        <w:rPr>
          <w:rFonts w:ascii="Muli" w:hAnsi="Muli" w:cs="Calibri"/>
          <w:sz w:val="20"/>
          <w:szCs w:val="20"/>
        </w:rPr>
        <w:t xml:space="preserve"> immer wieder neu, bauen um bzw. zurück, fügen neue Bilder hinzu oder entfernen welche. Neues entsteht, Altes wird verworfen. Es ist ein Prozess, in dem Erinnerungen immer wieder rekonstruiert und neu bewertet werden. Die zahlreichen Versuche, sich richtig zu erinnern, erleiden Verzerrungen. An welche Begebenheiten können sich die Künstlerinnen nicht mehr korrekt erinnern oder welchen Orten und Ereignissen messen sie im Nachhinein mehr oder weniger Bedeutung zu als ursprünglich? Die Ausstellung macht diesen Bias transparent. Sie zeigt, wie unterschiedlich selbst innerhalb einer Familie das Wissen über bestimmte Orte und damit verknüpfte Ereignisse sein kann. In der Rückschau wird aus der Rekonstruktion der Wirklichkeit schnell eine fiktionale Neukonstruktion.</w:t>
      </w:r>
    </w:p>
    <w:p w14:paraId="4410148F" w14:textId="77777777" w:rsidR="005703C9" w:rsidRDefault="005703C9" w:rsidP="005703C9">
      <w:pPr>
        <w:spacing w:before="100" w:beforeAutospacing="1" w:after="100" w:afterAutospacing="1"/>
        <w:rPr>
          <w:rFonts w:ascii="Muli" w:hAnsi="Muli" w:cs="Calibri"/>
          <w:sz w:val="20"/>
          <w:szCs w:val="20"/>
        </w:rPr>
      </w:pPr>
      <w:r>
        <w:rPr>
          <w:rFonts w:ascii="Muli" w:hAnsi="Muli" w:cs="Calibri"/>
          <w:noProof/>
          <w:sz w:val="20"/>
          <w:szCs w:val="20"/>
        </w:rPr>
        <w:drawing>
          <wp:inline distT="0" distB="0" distL="0" distR="0" wp14:anchorId="47D1BE76" wp14:editId="54848D95">
            <wp:extent cx="1493520" cy="11201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17328" cy="1137996"/>
                    </a:xfrm>
                    <a:prstGeom prst="rect">
                      <a:avLst/>
                    </a:prstGeom>
                  </pic:spPr>
                </pic:pic>
              </a:graphicData>
            </a:graphic>
          </wp:inline>
        </w:drawing>
      </w:r>
    </w:p>
    <w:p w14:paraId="10694547" w14:textId="52115AA8" w:rsidR="005703C9" w:rsidRPr="005703C9" w:rsidRDefault="005703C9" w:rsidP="005703C9">
      <w:pPr>
        <w:spacing w:before="100" w:beforeAutospacing="1" w:after="100" w:afterAutospacing="1"/>
        <w:rPr>
          <w:rFonts w:ascii="Muli" w:hAnsi="Muli" w:cs="Calibri"/>
          <w:color w:val="000000" w:themeColor="text1"/>
          <w:sz w:val="20"/>
          <w:szCs w:val="20"/>
          <w:lang w:val="en-US"/>
        </w:rPr>
      </w:pPr>
      <w:hyperlink r:id="rId6" w:history="1">
        <w:r w:rsidRPr="00827829">
          <w:rPr>
            <w:rStyle w:val="Hyperlink"/>
            <w:rFonts w:ascii="Muli" w:hAnsi="Muli" w:cs="Calibri"/>
            <w:color w:val="000000" w:themeColor="text1"/>
            <w:lang w:val="en-GB"/>
          </w:rPr>
          <w:t>www.monika-dorninger.at</w:t>
        </w:r>
      </w:hyperlink>
      <w:r w:rsidRPr="00827829">
        <w:rPr>
          <w:rFonts w:ascii="Muli" w:hAnsi="Muli" w:cs="Calibri"/>
          <w:color w:val="000000" w:themeColor="text1"/>
          <w:lang w:val="en-GB"/>
        </w:rPr>
        <w:t xml:space="preserve"> I </w:t>
      </w:r>
      <w:hyperlink r:id="rId7" w:history="1">
        <w:r w:rsidRPr="00827829">
          <w:rPr>
            <w:rStyle w:val="Hyperlink"/>
            <w:rFonts w:ascii="Muli" w:hAnsi="Muli" w:cs="Calibri"/>
            <w:color w:val="000000" w:themeColor="text1"/>
            <w:lang w:val="en-GB"/>
          </w:rPr>
          <w:t>www.bildgegenwart.at</w:t>
        </w:r>
      </w:hyperlink>
      <w:r w:rsidRPr="00827829">
        <w:rPr>
          <w:rFonts w:ascii="Muli" w:hAnsi="Muli" w:cs="Calibri"/>
          <w:color w:val="000000" w:themeColor="text1"/>
          <w:lang w:val="en-US"/>
        </w:rPr>
        <w:t xml:space="preserve"> </w:t>
      </w:r>
      <w:r w:rsidRPr="00827829">
        <w:rPr>
          <w:rFonts w:ascii="Muli" w:hAnsi="Muli" w:cs="Calibri"/>
          <w:color w:val="000000" w:themeColor="text1"/>
          <w:lang w:val="en-GB"/>
        </w:rPr>
        <w:t xml:space="preserve">I </w:t>
      </w:r>
      <w:hyperlink r:id="rId8" w:history="1">
        <w:r w:rsidRPr="00827829">
          <w:rPr>
            <w:rStyle w:val="Hyperlink"/>
            <w:rFonts w:ascii="Muli" w:hAnsi="Muli" w:cs="Calibri"/>
            <w:color w:val="000000" w:themeColor="text1"/>
            <w:lang w:val="en-GB"/>
          </w:rPr>
          <w:t>www.juliadorninger.com</w:t>
        </w:r>
      </w:hyperlink>
    </w:p>
    <w:sectPr w:rsidR="005703C9" w:rsidRPr="005703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C9"/>
    <w:rsid w:val="005703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9585"/>
  <w15:chartTrackingRefBased/>
  <w15:docId w15:val="{7DDA651A-8CC0-46DD-B744-2E0010B1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3C9"/>
    <w:pPr>
      <w:spacing w:after="0" w:line="240" w:lineRule="auto"/>
    </w:pPr>
    <w:rPr>
      <w:rFonts w:eastAsiaTheme="minorEastAsia"/>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03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liadorninger.com" TargetMode="External"/><Relationship Id="rId3" Type="http://schemas.openxmlformats.org/officeDocument/2006/relationships/webSettings" Target="webSettings.xml"/><Relationship Id="rId7" Type="http://schemas.openxmlformats.org/officeDocument/2006/relationships/hyperlink" Target="http://www.bildgegenwart.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ika-dorninger.a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www.sehsaal.at"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2330</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Dorninger</dc:creator>
  <cp:keywords/>
  <dc:description/>
  <cp:lastModifiedBy>Monika Dorninger</cp:lastModifiedBy>
  <cp:revision>1</cp:revision>
  <dcterms:created xsi:type="dcterms:W3CDTF">2021-04-25T19:18:00Z</dcterms:created>
  <dcterms:modified xsi:type="dcterms:W3CDTF">2021-04-25T19:20:00Z</dcterms:modified>
</cp:coreProperties>
</file>